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43" w:rsidRPr="00400A43" w:rsidRDefault="00400A43" w:rsidP="00400A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0A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nr. 1 </w:t>
      </w:r>
    </w:p>
    <w:p w:rsidR="00400A43" w:rsidRPr="00400A43" w:rsidRDefault="00400A43" w:rsidP="00400A43">
      <w:pPr>
        <w:tabs>
          <w:tab w:val="left" w:pos="426"/>
          <w:tab w:val="left" w:pos="85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0A43">
        <w:rPr>
          <w:rFonts w:ascii="Times New Roman" w:hAnsi="Times New Roman" w:cs="Times New Roman"/>
          <w:b/>
          <w:sz w:val="24"/>
          <w:szCs w:val="24"/>
          <w:lang w:val="ro-RO"/>
        </w:rPr>
        <w:t>la Regulamentul aprobat prin Ordinul MF nr. 158 din 25 septembrie 2018</w:t>
      </w:r>
    </w:p>
    <w:tbl>
      <w:tblPr>
        <w:tblW w:w="392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1441"/>
        <w:gridCol w:w="1418"/>
        <w:gridCol w:w="983"/>
        <w:gridCol w:w="10"/>
        <w:gridCol w:w="9"/>
        <w:gridCol w:w="9"/>
      </w:tblGrid>
      <w:tr w:rsidR="00400A43" w:rsidRPr="00400A43" w:rsidTr="00D007DE">
        <w:trPr>
          <w:gridAfter w:val="4"/>
          <w:wAfter w:w="682" w:type="pct"/>
          <w:jc w:val="center"/>
        </w:trPr>
        <w:tc>
          <w:tcPr>
            <w:tcW w:w="431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Default="00400A43" w:rsidP="0040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400A43" w:rsidRDefault="00400A43" w:rsidP="0040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Clasificatorul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codurilor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economice</w:t>
            </w:r>
            <w:proofErr w:type="spellEnd"/>
          </w:p>
          <w:p w:rsidR="00400A43" w:rsidRPr="00400A43" w:rsidRDefault="00400A43" w:rsidP="0040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  <w:p w:rsidR="00400A43" w:rsidRPr="00400A43" w:rsidRDefault="00400A43" w:rsidP="0040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400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conform cărora se vor anula amenzile și majorările de întârziere </w:t>
            </w:r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calculate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pentru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neplata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termen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impozitelor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taxelor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şi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altor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plăţi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obligatorii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aferente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bugetului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stat,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inclusiv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defalcările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la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impozitele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şi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taxele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stat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aferente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bugetelor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locale,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potrivit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cotelor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procentuale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stabilite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conform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legislaţiei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vigoare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aferente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fondurilor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asigurării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obligatorii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asistenţă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medicală</w:t>
            </w:r>
            <w:proofErr w:type="spellEnd"/>
          </w:p>
          <w:p w:rsidR="00400A43" w:rsidRPr="00400A43" w:rsidRDefault="00400A43" w:rsidP="0040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00A43" w:rsidRPr="00400A43" w:rsidTr="00D007DE">
        <w:trPr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Denumirea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clasificaţiei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economice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40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Pr="0040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lasificația </w:t>
            </w:r>
            <w:r w:rsidRPr="0040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economic</w:t>
            </w:r>
            <w:r w:rsidRPr="0040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ă</w:t>
            </w:r>
          </w:p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0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Buget de stat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40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Pr="0040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lasificația </w:t>
            </w:r>
            <w:r w:rsidRPr="0040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economic</w:t>
            </w:r>
            <w:r w:rsidRPr="0040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ă</w:t>
            </w:r>
          </w:p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40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Buget local</w:t>
            </w:r>
          </w:p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40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(conform defalcărilor) </w:t>
            </w:r>
          </w:p>
        </w:tc>
        <w:tc>
          <w:tcPr>
            <w:tcW w:w="6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40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FAOAM</w:t>
            </w:r>
          </w:p>
        </w:tc>
      </w:tr>
      <w:tr w:rsidR="00400A43" w:rsidRPr="00400A43" w:rsidTr="00D007DE">
        <w:trPr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A43" w:rsidRPr="00400A43" w:rsidRDefault="00400A43" w:rsidP="00D007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40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4</w:t>
            </w:r>
          </w:p>
        </w:tc>
      </w:tr>
      <w:tr w:rsidR="00400A43" w:rsidRPr="00400A43" w:rsidTr="00D007DE">
        <w:trPr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Impozit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venitul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reţinut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</w:t>
            </w: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6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Impozit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venitul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persoanelor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fizice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plată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achitat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111121</w:t>
            </w: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6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Impozit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venitul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aferent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operaţiunilor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predare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posesie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sau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folosinţă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proprietăţii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imobiliare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</w:t>
            </w: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6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Impozit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venitul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obţinut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activitatea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întreprinzător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111210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111210</w:t>
            </w: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6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trHeight w:val="328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Impozit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venitul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reţinut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sursa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plată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111220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111220</w:t>
            </w: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6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Impozit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venit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reţinut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dividendelor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achitate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111230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111230</w:t>
            </w: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6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Impozit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venitul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activitatea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operaţională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111240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111240</w:t>
            </w: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6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Impozit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venitul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activităţi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profesionale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sectorul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justiţiei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111261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111261</w:t>
            </w: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6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trHeight w:val="239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Impozit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privat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încasat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bugetul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stat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113311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Impozit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avere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încasat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bugetul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stat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113611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Taxa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valoarea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adăugată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mărfurile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produse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serviciile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prestate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teritoriul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Republicii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Moldova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114110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114110¹</w:t>
            </w:r>
          </w:p>
        </w:tc>
        <w:tc>
          <w:tcPr>
            <w:tcW w:w="6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Accize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rachiu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lichioruri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divinuri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băuturi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spirtoase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produse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teritoriul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Republicii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Moldova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114211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114211¹</w:t>
            </w:r>
          </w:p>
        </w:tc>
        <w:tc>
          <w:tcPr>
            <w:tcW w:w="6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Accize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vinuri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produse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teritoriul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Republicii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Moldova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114213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114213¹</w:t>
            </w:r>
          </w:p>
        </w:tc>
        <w:tc>
          <w:tcPr>
            <w:tcW w:w="6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Accize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berea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produsă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teritoriul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Republicii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Moldova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114215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114215¹</w:t>
            </w:r>
          </w:p>
        </w:tc>
        <w:tc>
          <w:tcPr>
            <w:tcW w:w="6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Accize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produsele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tutun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produse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teritoriul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Republicii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Moldova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114221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114221¹</w:t>
            </w:r>
          </w:p>
        </w:tc>
        <w:tc>
          <w:tcPr>
            <w:tcW w:w="6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Accize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produsele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petroliere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produse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teritoriul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Republicii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Moldova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114241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114241¹</w:t>
            </w:r>
          </w:p>
        </w:tc>
        <w:tc>
          <w:tcPr>
            <w:tcW w:w="6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Accize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bijuterii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inclusiv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bijuterii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briliante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produse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teritoriul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Republicii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Moldova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114261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114261¹</w:t>
            </w:r>
          </w:p>
        </w:tc>
        <w:tc>
          <w:tcPr>
            <w:tcW w:w="6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Accize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mărfuri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produse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teritoriul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Republicii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Moldova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114271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114271¹</w:t>
            </w:r>
          </w:p>
        </w:tc>
        <w:tc>
          <w:tcPr>
            <w:tcW w:w="6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Taxa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efectuarea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expertizei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ecologice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114424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Taxa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licenţă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anumite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genuri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activitate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încasată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bugetul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stat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114521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Taxa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eliberarea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autorizaţiilor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deschidere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prelungire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activităţii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reprezentanţelor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firmelor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băncilor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organizaţiilor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străine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114523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Taxa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comercializarea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gazelor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naturale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destinate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utilizării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calitate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carburanţi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unităţile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transport auto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114524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Taxa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eliberare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autorizaţiilor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transporturi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rutiere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internaţionale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114525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Taxa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mărfurile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care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procesul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utilizării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cauzează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poluarea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mediului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114534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Plăţi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poluarea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mediului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limitele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/cu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depăşirea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normativelor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stabilite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114535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plăţi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poluarea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mediului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114536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gridAfter w:val="1"/>
          <w:wAfter w:w="6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Taxa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folosirea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drumurilor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către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autovehiculele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înmatriculate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Republica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Moldova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114633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gridAfter w:val="1"/>
          <w:wAfter w:w="6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Taxa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folosirea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drumurilor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către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autovehiculele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înmatriculate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Republica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Moldova 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căror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masă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totală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sarcină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masică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axă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sau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căror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dimensiuni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depăşesc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limitele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admise</w:t>
            </w:r>
            <w:proofErr w:type="spellEnd"/>
          </w:p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114634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gridAfter w:val="1"/>
          <w:wAfter w:w="6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Taxa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folosirea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zonei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protecţie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drumurilor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afara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perimetrului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localităţilor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efectuarea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lucrărilor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construcţie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montaj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114635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gridAfter w:val="1"/>
          <w:wAfter w:w="6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Taxa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folosirea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zonei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protecţie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drumurilor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afara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perimetrului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localităţilor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amplasarea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publicităţii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exterioare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114636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gridAfter w:val="1"/>
          <w:wAfter w:w="6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Taxa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folosirea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zonei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protecţie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drumurilor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afara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perimetrului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localităţilor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amplasarea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obiectivelor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prestare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serviciilor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rutiere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114637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gridAfter w:val="1"/>
          <w:wAfter w:w="6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Vinieta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114638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gridAfter w:val="1"/>
          <w:wAfter w:w="6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Dividende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primite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la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cota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parte 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proprietăţii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societăţile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acţiuni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bugetul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stat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141221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gridAfter w:val="1"/>
          <w:wAfter w:w="6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Defalcări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la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net al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întreprinderilor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stat (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municipale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bugetul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stat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141231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gridAfter w:val="1"/>
          <w:wAfter w:w="6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Arenda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resursele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naturale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încasată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bugetul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stat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141511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gridAfter w:val="1"/>
          <w:wAfter w:w="6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Arenda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terenurilor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altă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destinaţie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decît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agricolă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încasată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bugetul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stat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141531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gridAfter w:val="1"/>
          <w:wAfter w:w="6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Redevenţa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concesionarea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activelor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terenurilor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141541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gridAfter w:val="2"/>
          <w:wAfter w:w="12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Taxa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142220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gridAfter w:val="2"/>
          <w:wAfter w:w="12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Mijloace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încasate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bugetul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stat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calitate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prejudicii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conform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documentelor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executorii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inclusiv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succesiune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142235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gridAfter w:val="2"/>
          <w:wAfter w:w="12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Amenzi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sancţiuni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contravenţionale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încasate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bugetul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stat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143111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gridAfter w:val="2"/>
          <w:wAfter w:w="12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Amenzi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aplicate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către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agenţii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constatatori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cadrul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subdiviziunilor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Inspectoratului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General al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Poliţiei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143113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gridAfter w:val="2"/>
          <w:wAfter w:w="12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Amenzi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aplicate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către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Agenţia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Achiziţii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încasate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bugetul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stat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143115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gridAfter w:val="2"/>
          <w:wAfter w:w="12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Amenzi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aplicate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Inspectoratul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Protecţia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Mediului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143116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gridAfter w:val="2"/>
          <w:wAfter w:w="12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Amenzi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aplicate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Inspectoratul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naţional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patrulare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143210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gridAfter w:val="2"/>
          <w:wAfter w:w="12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Amenzi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aplicate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Inspectoratul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naţional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patrulare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încălcarea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traficului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rutier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constatate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ajutorul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mijloacelor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foto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-video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143230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gridAfter w:val="2"/>
          <w:wAfter w:w="12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Amenzi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aplicate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Inspecţia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financiară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încasate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bugetul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stat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gridAfter w:val="2"/>
          <w:wAfter w:w="12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Amenzi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aplicate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către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organele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Fiscal de Stat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încasate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bugetul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stat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143321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gridAfter w:val="2"/>
          <w:wAfter w:w="12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Amenzi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contravenţionale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aplicate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organele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Serviciului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Fiscal de Stat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143323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gridAfter w:val="2"/>
          <w:wAfter w:w="12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Amenzi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contravenţionale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aplicate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organele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Serviciului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Fiscal de Stat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încălcarea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termenelor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repatriere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mijloacelor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materiale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mijloacelor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băneşti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143324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gridAfter w:val="2"/>
          <w:wAfter w:w="12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Amenzi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aplicate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Poliţia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Frontieră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143350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gridAfter w:val="2"/>
          <w:wAfter w:w="12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Amenzi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aplicate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Agenţia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Supraveghere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Tehnică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143410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gridAfter w:val="2"/>
          <w:wAfter w:w="12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Amenzi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aplicate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instanţele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judecătoreşti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cauze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administrative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penale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143420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gridAfter w:val="2"/>
          <w:wAfter w:w="12" w:type="pct"/>
          <w:trHeight w:val="416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Amenzi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aplicate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Agenţia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Naţională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Sănătate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Publică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143450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gridAfter w:val="2"/>
          <w:wAfter w:w="12" w:type="pct"/>
          <w:jc w:val="center"/>
        </w:trPr>
        <w:tc>
          <w:tcPr>
            <w:tcW w:w="23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Amenzi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aplicate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pentru utilizarea muncii nedeclarate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143470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gridAfter w:val="2"/>
          <w:wAfter w:w="12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Amenzi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nerepatrierea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termen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încasărilor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valutare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143480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gridAfter w:val="3"/>
          <w:wAfter w:w="19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amenzi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sancţiuni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pecuniare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încasate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bugetul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stat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143491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gridAfter w:val="3"/>
          <w:wAfter w:w="19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venituri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încasate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bugetul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stat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145111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A43" w:rsidRPr="00400A43" w:rsidTr="00D007DE">
        <w:trPr>
          <w:gridAfter w:val="3"/>
          <w:wAfter w:w="19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Impozit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unic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perceput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la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rezidenţii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parcurilor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tehnologia</w:t>
            </w:r>
            <w:proofErr w:type="spellEnd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informaţiei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145161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40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145161</w:t>
            </w:r>
          </w:p>
        </w:tc>
      </w:tr>
      <w:tr w:rsidR="00400A43" w:rsidRPr="00400A43" w:rsidTr="00D007DE">
        <w:trPr>
          <w:gridAfter w:val="3"/>
          <w:wAfter w:w="19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Prime de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asigurare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obligatorie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asistenţă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medicală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formă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contribuţie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procentuală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salariu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recompense,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angajatori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angajaţi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00A43">
              <w:rPr>
                <w:rFonts w:ascii="Times New Roman" w:hAnsi="Times New Roman" w:cs="Times New Roman"/>
                <w:sz w:val="24"/>
                <w:szCs w:val="24"/>
              </w:rPr>
              <w:t>122100</w:t>
            </w:r>
          </w:p>
        </w:tc>
      </w:tr>
      <w:tr w:rsidR="00400A43" w:rsidRPr="00400A43" w:rsidTr="00D007DE">
        <w:trPr>
          <w:gridAfter w:val="3"/>
          <w:wAfter w:w="19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Amenzi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aplicate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către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organele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Serviciul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Fiscal de Stat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încasate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bugetul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fondurilor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asigurărilor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obligatorii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asistenţă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medicală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hAnsi="Times New Roman" w:cs="Times New Roman"/>
                <w:sz w:val="24"/>
                <w:szCs w:val="24"/>
              </w:rPr>
              <w:t>143322</w:t>
            </w:r>
          </w:p>
        </w:tc>
      </w:tr>
      <w:tr w:rsidR="00400A43" w:rsidRPr="00400A43" w:rsidTr="00D007DE">
        <w:trPr>
          <w:gridAfter w:val="3"/>
          <w:wAfter w:w="19" w:type="pct"/>
          <w:jc w:val="center"/>
        </w:trPr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Amenzi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contravenţionale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aplicate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către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Serviciul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Fiscal de Stat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încasate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fondurile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asigurării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obligatorii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asistenţă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medicală</w:t>
            </w:r>
            <w:proofErr w:type="spellEnd"/>
            <w:r w:rsidRPr="00400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00A43" w:rsidRPr="00400A43" w:rsidRDefault="00400A43" w:rsidP="00D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43" w:rsidRPr="00400A43" w:rsidRDefault="00400A43" w:rsidP="00D0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3">
              <w:rPr>
                <w:rFonts w:ascii="Times New Roman" w:hAnsi="Times New Roman" w:cs="Times New Roman"/>
                <w:sz w:val="24"/>
                <w:szCs w:val="24"/>
              </w:rPr>
              <w:t>143325</w:t>
            </w:r>
          </w:p>
        </w:tc>
      </w:tr>
    </w:tbl>
    <w:p w:rsidR="00400A43" w:rsidRPr="009272C8" w:rsidRDefault="00400A43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400A43" w:rsidRPr="009272C8" w:rsidSect="004E5E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43"/>
    <w:rsid w:val="00400A43"/>
    <w:rsid w:val="0092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43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43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2</cp:revision>
  <dcterms:created xsi:type="dcterms:W3CDTF">2018-10-08T12:44:00Z</dcterms:created>
  <dcterms:modified xsi:type="dcterms:W3CDTF">2018-10-08T12:50:00Z</dcterms:modified>
</cp:coreProperties>
</file>